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sz w:val="24"/>
          <w:szCs w:val="24"/>
          <w:shd w:fill="FFFFFF" w:val="clear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  <w:shd w:fill="FFFFFF" w:val="clear"/>
        </w:rPr>
      </w:pPr>
      <w:r>
        <w:rPr>
          <w:rFonts w:eastAsia="Calibri"/>
          <w:sz w:val="24"/>
          <w:szCs w:val="24"/>
          <w:shd w:fill="FFFFFF" w:val="clear"/>
        </w:rPr>
      </w:r>
    </w:p>
    <w:p>
      <w:pPr>
        <w:pStyle w:val="211"/>
        <w:shd w:val="clear" w:color="auto" w:fill="auto"/>
        <w:spacing w:lineRule="exact" w:line="274" w:before="0" w:after="223"/>
        <w:jc w:val="center"/>
        <w:rPr/>
      </w:pPr>
      <w:r>
        <w:rPr>
          <w:rFonts w:eastAsia="Calibri"/>
          <w:b w:val="false"/>
          <w:bCs w:val="false"/>
          <w:color w:val="000000"/>
          <w:sz w:val="24"/>
          <w:szCs w:val="24"/>
          <w:shd w:fill="FFFFFF" w:val="clear"/>
        </w:rPr>
        <w:t>ОКПД 2: 42.91.20.150</w:t>
      </w:r>
      <w:r>
        <w:rPr>
          <w:rFonts w:eastAsia="Calibri" w:ascii="system-ui" w:hAnsi="system-ui"/>
          <w:b w:val="false"/>
          <w:bCs w:val="false"/>
          <w:color w:val="333333"/>
          <w:sz w:val="24"/>
          <w:szCs w:val="24"/>
          <w:shd w:fill="FFFFFF" w:val="clear"/>
        </w:rPr>
        <w:t xml:space="preserve"> </w:t>
      </w:r>
      <w:bookmarkStart w:id="0" w:name="OLE_LINK8"/>
      <w:bookmarkStart w:id="1" w:name="OLE_LINK9"/>
      <w:r>
        <w:rPr>
          <w:b w:val="false"/>
          <w:bCs w:val="false"/>
          <w:sz w:val="24"/>
          <w:szCs w:val="24"/>
          <w:shd w:fill="FFFFFF" w:val="clear"/>
        </w:rPr>
        <w:t>на оказание услуг по подводно-техническому</w:t>
      </w:r>
      <w:r>
        <w:rPr>
          <w:rStyle w:val="23"/>
          <w:rFonts w:eastAsia="Calibri"/>
          <w:b w:val="false"/>
          <w:bCs w:val="false"/>
          <w:color w:val="000000"/>
          <w:sz w:val="24"/>
          <w:szCs w:val="24"/>
        </w:rPr>
        <w:t xml:space="preserve"> обслуживанию </w:t>
      </w:r>
      <w:bookmarkEnd w:id="0"/>
      <w:bookmarkEnd w:id="1"/>
      <w:r>
        <w:rPr>
          <w:b w:val="false"/>
          <w:bCs w:val="false"/>
          <w:sz w:val="24"/>
          <w:szCs w:val="24"/>
          <w:shd w:fill="FFFFFF" w:val="clear"/>
        </w:rPr>
        <w:t>Саратовской ГЭС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  <w:shd w:fill="FFFFFF" w:val="clear"/>
        </w:rPr>
      </w:pPr>
      <w:r>
        <w:rPr>
          <w:rFonts w:eastAsia="Calibri"/>
          <w:b/>
          <w:i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  <w:r>
        <w:br w:type="page"/>
      </w:r>
    </w:p>
    <w:p>
      <w:pPr>
        <w:pStyle w:val="Normal"/>
        <w:jc w:val="center"/>
        <w:rPr>
          <w:sz w:val="24"/>
          <w:szCs w:val="24"/>
          <w:shd w:fill="FFFFFF" w:val="clear"/>
        </w:rPr>
      </w:pPr>
      <w:r>
        <w:rPr>
          <w:b/>
          <w:sz w:val="24"/>
          <w:szCs w:val="24"/>
          <w:shd w:fill="FFFFFF" w:val="clear"/>
        </w:rPr>
        <w:t>СОДЕРЖАНИЕ</w:t>
      </w:r>
    </w:p>
    <w:sdt>
      <w:sdtPr>
        <w:docPartObj>
          <w:docPartGallery w:val="Table of Contents"/>
          <w:docPartUnique w:val="true"/>
        </w:docPartObj>
        <w:id w:val="1942531625"/>
      </w:sdtPr>
      <w:sdtContent>
        <w:p>
          <w:pPr>
            <w:pStyle w:val="TOCHeading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4"/>
              <w:shd w:fill="FFFFFF" w:val="clear"/>
              <w:vanish w:val="false"/>
              <w:rFonts w:cs="Times New Roman"/>
            </w:rPr>
            <w:instrText xml:space="preserve"> TOC \z \o "1-3" \u \h</w:instrText>
          </w:r>
          <w:r>
            <w:rPr>
              <w:webHidden/>
              <w:rStyle w:val="Style14"/>
              <w:shd w:fill="FFFFFF" w:val="clear"/>
              <w:vanish w:val="false"/>
              <w:rFonts w:cs="Times New Roman"/>
            </w:rPr>
            <w:fldChar w:fldCharType="separate"/>
          </w:r>
          <w:hyperlink w:anchor="_Toc175145904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1.Общие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05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 1. 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6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1.5.1.Согласование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7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1.6.1. Услуги оказываются в таком объеме, который позволяет начать эксплуатацию оказанных услуг без проведения закупочных процедур Заказчиком, включающих дополнительные объёмы каких-либо материалов, оборудования и услуг, выявленных в процессе оказания услуг. Услуги считаются выполненными после приемки услуг комиссией филиала ПАО «РусГидро» - «Саратовская ГЭС» с оформлением отчётной документации со стороны Исполнителя.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08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2.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9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2.1.1 Требования к видам и объемам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0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 2. Перечень и объем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11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2.1.2. Требования к срокам оказания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2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 3. Требования по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3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 4. Требования к качеству оказанных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14">
            <w:r>
              <w:rPr>
                <w:webHidden/>
                <w:rStyle w:val="Style14"/>
                <w:rFonts w:cs="Times New Roman"/>
                <w:iCs/>
                <w:vanish w:val="false"/>
                <w:sz w:val="24"/>
                <w:szCs w:val="24"/>
                <w:shd w:fill="FFFFFF" w:val="clear"/>
              </w:rPr>
              <w:t>Гарантийный срок на результат оказанных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5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3.Требования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6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4.Требования к документации по ценообразованию на этапе заключения (исполнения) договора.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7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5. Приложения.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  <w:rFonts w:cs="Times New Roman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9911" w:leader="dot"/>
        </w:tabs>
        <w:rPr>
          <w:rFonts w:cs="Times New Roman"/>
        </w:rPr>
      </w:pPr>
      <w:r>
        <w:rPr>
          <w:rFonts w:cs="Times New Roman"/>
        </w:rPr>
      </w:r>
    </w:p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cs="Times New Roman"/>
        </w:rPr>
      </w:pPr>
      <w:r>
        <w:rPr>
          <w:rFonts w:cs="Times New Roman"/>
        </w:rPr>
      </w:r>
    </w:p>
    <w:p>
      <w:pPr>
        <w:pStyle w:val="Heading2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</w:r>
      <w:r>
        <w:br w:type="page"/>
      </w:r>
    </w:p>
    <w:p>
      <w:pPr>
        <w:pStyle w:val="Heading1"/>
        <w:rPr>
          <w:sz w:val="24"/>
          <w:szCs w:val="24"/>
          <w:shd w:fill="FFFFFF" w:val="clear"/>
        </w:rPr>
      </w:pPr>
      <w:bookmarkStart w:id="2" w:name="_Toc151015726"/>
      <w:bookmarkStart w:id="3" w:name="_Toc175145904"/>
      <w:bookmarkStart w:id="4" w:name="_Toc51339692"/>
      <w:r>
        <w:rPr>
          <w:sz w:val="24"/>
          <w:szCs w:val="24"/>
          <w:shd w:fill="FFFFFF" w:val="clear"/>
          <w:lang w:val="ru-RU"/>
        </w:rPr>
        <w:t>1.</w:t>
      </w:r>
      <w:r>
        <w:rPr>
          <w:sz w:val="24"/>
          <w:szCs w:val="24"/>
          <w:shd w:fill="FFFFFF" w:val="clear"/>
        </w:rPr>
        <w:t>Общие сведения</w:t>
      </w:r>
      <w:bookmarkEnd w:id="2"/>
      <w:bookmarkEnd w:id="3"/>
      <w:bookmarkEnd w:id="4"/>
    </w:p>
    <w:p>
      <w:pPr>
        <w:pStyle w:val="Heading4"/>
        <w:rPr>
          <w:shd w:fill="FFFFFF" w:val="clear"/>
        </w:rPr>
      </w:pPr>
      <w:bookmarkStart w:id="5" w:name="_Toc46743505"/>
      <w:bookmarkStart w:id="6" w:name="_Toc151015727"/>
      <w:r>
        <w:rPr>
          <w:shd w:fill="FFFFFF" w:val="clear"/>
          <w:lang w:val="ru-RU"/>
        </w:rPr>
        <w:t xml:space="preserve">1.1 </w:t>
      </w:r>
      <w:r>
        <w:rPr>
          <w:shd w:fill="FFFFFF" w:val="clear"/>
        </w:rPr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  <w:shd w:fill="FFFFFF" w:val="clear"/>
        </w:rPr>
      </w:pPr>
      <w:r>
        <w:rPr>
          <w:bCs/>
          <w:iCs/>
          <w:sz w:val="24"/>
          <w:szCs w:val="24"/>
          <w:shd w:fill="FFFFFF" w:val="clear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028"/>
        <w:gridCol w:w="7754"/>
      </w:tblGrid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Конечный 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</w:rPr>
              <w:t>АО «Гидроремонт-ВКК», 603140, Нижегородская область, г.о. город Нижний Новгород, г. Нижний Новгород, пер Мотальный, д. 8, помещ. ВП 31, офис С1А.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  <w:shd w:fill="FFFFFF" w:val="clear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Исполнитель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Исполнитель Услуг. Субподрядчик.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ТТ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СТО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Левый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Правый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Нижний бьеф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ТВС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Техническое водоснабжение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  <w:bookmarkStart w:id="7" w:name="_Toc46743506"/>
      <w:bookmarkStart w:id="8" w:name="_Toc46743506"/>
      <w:r>
        <w:br w:type="page"/>
      </w:r>
    </w:p>
    <w:p>
      <w:pPr>
        <w:pStyle w:val="Heading4"/>
        <w:rPr>
          <w:shd w:fill="FFFFFF" w:val="clear"/>
        </w:rPr>
      </w:pPr>
      <w:bookmarkStart w:id="9" w:name="_Toc151015728"/>
      <w:r>
        <w:rPr>
          <w:shd w:fill="FFFFFF" w:val="clear"/>
          <w:lang w:val="ru-RU"/>
        </w:rPr>
        <w:t>1.2.</w:t>
      </w:r>
      <w:r>
        <w:rPr>
          <w:shd w:fill="FFFFFF" w:val="clear"/>
        </w:rPr>
        <w:t xml:space="preserve"> Наименование </w:t>
      </w:r>
      <w:bookmarkEnd w:id="8"/>
      <w:r>
        <w:rPr>
          <w:shd w:fill="FFFFFF" w:val="clear"/>
          <w:lang w:val="ru-RU"/>
        </w:rPr>
        <w:t>услуг</w:t>
      </w:r>
      <w:bookmarkEnd w:id="9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sz w:val="24"/>
          <w:szCs w:val="24"/>
          <w:shd w:fill="FFFFFF" w:val="clear"/>
        </w:rPr>
      </w:pPr>
      <w:r>
        <w:rPr>
          <w:rFonts w:eastAsia="Calibri"/>
          <w:color w:val="000000"/>
          <w:sz w:val="24"/>
          <w:szCs w:val="24"/>
          <w:shd w:fill="FFFFFF" w:val="clear"/>
          <w:lang w:eastAsia="x-none"/>
        </w:rPr>
        <w:t xml:space="preserve">ОКПД 2: 42.91.20.150 </w:t>
      </w:r>
      <w:r>
        <w:rPr>
          <w:rFonts w:eastAsia="Calibri"/>
          <w:sz w:val="24"/>
          <w:szCs w:val="24"/>
          <w:shd w:fill="FFFFFF" w:val="clear"/>
          <w:lang w:eastAsia="x-none"/>
        </w:rPr>
        <w:t>Оказание услуг по подводно-техническому обслуживанию Саратовской ГЭС</w:t>
      </w:r>
    </w:p>
    <w:p>
      <w:pPr>
        <w:pStyle w:val="Heading4"/>
        <w:rPr>
          <w:shd w:fill="FFFFFF" w:val="clear"/>
        </w:rPr>
      </w:pPr>
      <w:bookmarkStart w:id="10" w:name="_Toc151015729"/>
      <w:bookmarkStart w:id="11" w:name="_Toc46743507"/>
      <w:r>
        <w:rPr>
          <w:shd w:fill="FFFFFF" w:val="clear"/>
          <w:lang w:val="ru-RU"/>
        </w:rPr>
        <w:t>1.3.</w:t>
      </w:r>
      <w:r>
        <w:rPr>
          <w:shd w:fill="FFFFFF" w:val="clear"/>
        </w:rPr>
        <w:t xml:space="preserve"> Цель </w:t>
      </w:r>
      <w:bookmarkEnd w:id="11"/>
      <w:r>
        <w:rPr>
          <w:shd w:fill="FFFFFF" w:val="clear"/>
          <w:lang w:val="ru-RU"/>
        </w:rPr>
        <w:t>оказания услуг</w:t>
      </w:r>
      <w:bookmarkEnd w:id="10"/>
      <w:r>
        <w:rPr>
          <w:shd w:fill="FFFFFF" w:val="clear"/>
        </w:rPr>
        <w:t xml:space="preserve"> </w:t>
      </w:r>
    </w:p>
    <w:p>
      <w:pPr>
        <w:pStyle w:val="Normal"/>
        <w:rPr>
          <w:sz w:val="24"/>
          <w:szCs w:val="24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>3.3.1. Водолазный осмотр водоприёмных отверстий ТВС Ду1000 -6шт, очистка, устранение мелких дефектов решетки с применением крана козлового г/п 2х180/50т.с. (Заказчика)</w:t>
      </w:r>
    </w:p>
    <w:p>
      <w:pPr>
        <w:pStyle w:val="Normal"/>
        <w:rPr>
          <w:rFonts w:eastAsia="Calibri"/>
          <w:sz w:val="24"/>
          <w:szCs w:val="24"/>
          <w:shd w:fill="FFFFFF" w:val="clear"/>
          <w:lang w:eastAsia="x-none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 xml:space="preserve">3.3.1. </w:t>
      </w:r>
      <w:r>
        <w:rPr>
          <w:rFonts w:eastAsia="Calibri"/>
          <w:color w:val="000000"/>
          <w:sz w:val="24"/>
          <w:szCs w:val="24"/>
          <w:shd w:fill="FFFFFF" w:val="clear"/>
          <w:lang w:eastAsia="x-none"/>
        </w:rPr>
        <w:t>Водолазный осмотр верха затворов 216СЮ с применением водолазного бота ЦКБ "Редан" пр.№РВМ376 и Крана козлового г/п 2х200/10т.с. (Заказчика)</w:t>
      </w:r>
    </w:p>
    <w:p>
      <w:pPr>
        <w:pStyle w:val="Heading4"/>
        <w:rPr>
          <w:shd w:fill="FFFFFF" w:val="clear"/>
        </w:rPr>
      </w:pPr>
      <w:bookmarkStart w:id="12" w:name="_Toc46743508"/>
      <w:bookmarkStart w:id="13" w:name="_Toc151015730"/>
      <w:r>
        <w:rPr>
          <w:shd w:fill="FFFFFF" w:val="clear"/>
          <w:lang w:val="ru-RU"/>
        </w:rPr>
        <w:t>1.4.</w:t>
      </w:r>
      <w:r>
        <w:rPr>
          <w:shd w:fill="FFFFFF" w:val="clear"/>
        </w:rPr>
        <w:t xml:space="preserve"> Существующее положение</w:t>
      </w:r>
      <w:bookmarkEnd w:id="12"/>
      <w:bookmarkEnd w:id="13"/>
      <w:r>
        <w:rPr>
          <w:shd w:fill="FFFFFF" w:val="clear"/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1.4.1. </w:t>
      </w:r>
      <w:r>
        <w:rPr>
          <w:bCs/>
          <w:sz w:val="24"/>
          <w:szCs w:val="24"/>
          <w:shd w:fill="FFFFFF" w:val="clear"/>
        </w:rPr>
        <w:t>Услуги оказываются на основании</w:t>
      </w:r>
      <w:r>
        <w:rPr>
          <w:sz w:val="24"/>
          <w:szCs w:val="24"/>
          <w:shd w:fill="FFFFFF" w:val="clear"/>
        </w:rPr>
        <w:t xml:space="preserve">: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  <w:t>- Договора № 1300-461-2023 от 27.12.2023г Техническое обслуживание  оборудования, зданий, сооружений филиала ПАО РусГидро - Саратовская ГЭС заключенному между</w:t>
      </w:r>
      <w:r>
        <w:rPr>
          <w:sz w:val="24"/>
          <w:szCs w:val="24"/>
          <w:shd w:fill="FFFFFF" w:val="clear"/>
        </w:rPr>
        <w:t xml:space="preserve"> ПАО «РусГидро» и </w:t>
      </w:r>
      <w:r>
        <w:rPr>
          <w:iCs/>
          <w:sz w:val="24"/>
          <w:szCs w:val="24"/>
          <w:shd w:fill="FFFFFF" w:val="clear"/>
        </w:rPr>
        <w:t>АО «Гидроремонт-ВКК»</w:t>
      </w:r>
      <w:r>
        <w:rPr>
          <w:bCs/>
          <w:sz w:val="24"/>
          <w:szCs w:val="24"/>
          <w:shd w:fill="FFFFFF" w:val="clear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1.4.2. Услуги оказываются на территории Филиала ПАО «РусГидро» - «Саратовская ГЭС», Водоприёмное отверстие ТВС Ду1000 с ЛБ; ПБ</w:t>
      </w:r>
      <w:r>
        <w:rPr>
          <w:bCs/>
          <w:sz w:val="24"/>
          <w:szCs w:val="24"/>
          <w:shd w:fill="FFFFFF" w:val="clear"/>
        </w:rPr>
        <w:t xml:space="preserve"> в количестве 6шт. и верха затворов 216СЮ с НБ в количестве 49шт. </w:t>
      </w:r>
      <w:r>
        <w:rPr>
          <w:sz w:val="24"/>
          <w:szCs w:val="24"/>
          <w:shd w:fill="FFFFFF" w:val="clear"/>
        </w:rPr>
        <w:t xml:space="preserve">гидроагрегатов ст.№1-24 Саратовской ГЭС.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1.4.3. </w:t>
      </w:r>
      <w:r>
        <w:rPr>
          <w:rFonts w:eastAsia="Calibri"/>
          <w:sz w:val="24"/>
          <w:szCs w:val="24"/>
          <w:shd w:fill="FFFFFF" w:val="clear"/>
          <w:lang w:eastAsia="x-none"/>
        </w:rPr>
        <w:t xml:space="preserve">Оказание услуг по подводно-техническому обслуживанию Саратовской ГЭС </w:t>
      </w:r>
      <w:r>
        <w:rPr>
          <w:sz w:val="24"/>
          <w:szCs w:val="24"/>
          <w:shd w:fill="FFFFFF" w:val="clear"/>
        </w:rPr>
        <w:t>на глубине до 25м.</w:t>
      </w:r>
    </w:p>
    <w:p>
      <w:pPr>
        <w:pStyle w:val="Heading1"/>
        <w:rPr>
          <w:sz w:val="24"/>
          <w:szCs w:val="24"/>
          <w:shd w:fill="FFFFFF" w:val="clear"/>
        </w:rPr>
      </w:pPr>
      <w:bookmarkStart w:id="14" w:name="_Toc151015731"/>
      <w:bookmarkStart w:id="15" w:name="_Toc175145905"/>
      <w:r>
        <w:rPr>
          <w:sz w:val="24"/>
          <w:szCs w:val="24"/>
          <w:shd w:fill="FFFFFF" w:val="clear"/>
        </w:rPr>
        <w:t>Таблица 1. Перечень объектов заказчика</w:t>
      </w:r>
      <w:bookmarkEnd w:id="14"/>
      <w:bookmarkEnd w:id="15"/>
    </w:p>
    <w:tbl>
      <w:tblPr>
        <w:tblW w:w="10060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06"/>
        <w:gridCol w:w="2297"/>
        <w:gridCol w:w="2410"/>
        <w:gridCol w:w="2835"/>
        <w:gridCol w:w="1712"/>
      </w:tblGrid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  <w:shd w:fill="FFFFFF" w:val="clear"/>
              </w:rPr>
              <w:t>(место оказания Услуг)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Примечания</w:t>
            </w:r>
          </w:p>
        </w:tc>
      </w:tr>
      <w:tr>
        <w:trPr/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5</w:t>
            </w:r>
          </w:p>
        </w:tc>
      </w:tr>
      <w:tr>
        <w:trPr>
          <w:trHeight w:val="1165" w:hRule="atLeast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Здание </w:t>
            </w:r>
            <w:r>
              <w:rPr>
                <w:iCs/>
                <w:sz w:val="24"/>
                <w:szCs w:val="24"/>
                <w:shd w:fill="FFFFFF" w:val="clear"/>
              </w:rPr>
              <w:t>Саратовской ГЭС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Водоприёмное отверстие ТВС Ду1000 с ЛБ -3шт; ПБ -3шт. на глубине менее 2.5м и св.12 до 20м;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Эксплуатирующая организация: Филиал ПАО «РусГидро» - «Саратовская ГЭС»</w:t>
            </w:r>
          </w:p>
        </w:tc>
      </w:tr>
      <w:tr>
        <w:trPr>
          <w:trHeight w:val="1535" w:hRule="atLeast"/>
        </w:trPr>
        <w:tc>
          <w:tcPr>
            <w:tcW w:w="80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2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4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Верха затворов 216СЮ -49шт.  с НБ на глубинах св.20 до 25м; гидроагрегатов ст.№1-24 Саратовской ГЭС.</w:t>
            </w:r>
          </w:p>
        </w:tc>
        <w:tc>
          <w:tcPr>
            <w:tcW w:w="171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</w:tr>
    </w:tbl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</w:rPr>
      </w:pPr>
      <w:r>
        <w:rPr>
          <w:shd w:fill="FFFFFF" w:val="clear"/>
          <w:lang w:val="ru-RU"/>
        </w:rPr>
        <w:t xml:space="preserve">1.5. </w:t>
      </w:r>
      <w:r>
        <w:rPr>
          <w:shd w:fill="FFFFFF" w:val="clear"/>
        </w:rPr>
        <w:t xml:space="preserve">Информация в отношении исполнения договора, </w:t>
      </w:r>
      <w:bookmarkStart w:id="16" w:name="_Hlk46492347"/>
      <w:r>
        <w:rPr>
          <w:shd w:fill="FFFFFF" w:val="clear"/>
        </w:rPr>
        <w:t xml:space="preserve">которая должна быть учтена при подготовке заявки </w:t>
      </w:r>
      <w:bookmarkEnd w:id="16"/>
      <w:r>
        <w:rPr>
          <w:shd w:fill="FFFFFF" w:val="clear"/>
        </w:rPr>
        <w:t xml:space="preserve">(в том числе перечень ресурсов, услуг и документов, предоставляемых </w:t>
      </w:r>
      <w:r>
        <w:rPr>
          <w:shd w:fill="FFFFFF" w:val="clear"/>
          <w:lang w:val="ru-RU"/>
        </w:rPr>
        <w:t>Заказчиком</w:t>
      </w:r>
      <w:r>
        <w:rPr>
          <w:shd w:fill="FFFFFF" w:val="clear"/>
        </w:rPr>
        <w:t xml:space="preserve"> на этапе исполнения договора)</w:t>
      </w:r>
      <w:r>
        <w:rPr>
          <w:shd w:fill="FFFFFF" w:val="clear"/>
          <w:lang w:val="ru-RU"/>
        </w:rPr>
        <w:t xml:space="preserve"> </w:t>
      </w:r>
      <w:bookmarkStart w:id="17" w:name="_Hlk48209761"/>
      <w:bookmarkEnd w:id="17"/>
    </w:p>
    <w:p>
      <w:pPr>
        <w:pStyle w:val="Heading3"/>
        <w:ind w:left="0" w:hanging="0"/>
        <w:rPr>
          <w:shd w:fill="FFFFFF" w:val="clear"/>
        </w:rPr>
      </w:pPr>
      <w:bookmarkStart w:id="18" w:name="_Toc151015572"/>
      <w:bookmarkStart w:id="19" w:name="_Toc151015734"/>
      <w:bookmarkStart w:id="20" w:name="_Toc175145906"/>
      <w:r>
        <w:rPr>
          <w:shd w:fill="FFFFFF" w:val="clear"/>
          <w:lang w:val="ru-RU"/>
        </w:rPr>
        <w:t xml:space="preserve">1.5.1. </w:t>
      </w:r>
      <w:r>
        <w:rPr>
          <w:shd w:fill="FFFFFF" w:val="clear"/>
        </w:rPr>
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</w:r>
      <w:bookmarkEnd w:id="18"/>
      <w:bookmarkEnd w:id="19"/>
      <w:bookmarkEnd w:id="20"/>
    </w:p>
    <w:p>
      <w:pPr>
        <w:pStyle w:val="Heading4"/>
        <w:ind w:left="0" w:hanging="0"/>
        <w:rPr>
          <w:shd w:fill="FFFFFF" w:val="clear"/>
        </w:rPr>
      </w:pPr>
      <w:bookmarkStart w:id="21" w:name="_Toc151015735"/>
      <w:r>
        <w:rPr>
          <w:shd w:fill="FFFFFF" w:val="clear"/>
          <w:lang w:val="ru-RU"/>
        </w:rPr>
        <w:t xml:space="preserve">1.6. </w:t>
      </w:r>
      <w:r>
        <w:rPr>
          <w:shd w:fill="FFFFFF" w:val="clear"/>
        </w:rPr>
        <w:t>Иные требования и сведения общего характера</w:t>
      </w:r>
      <w:bookmarkEnd w:id="21"/>
    </w:p>
    <w:p>
      <w:pPr>
        <w:pStyle w:val="Heading3"/>
        <w:ind w:left="0" w:hanging="0"/>
        <w:rPr>
          <w:shd w:fill="FFFFFF" w:val="clear"/>
        </w:rPr>
      </w:pPr>
      <w:bookmarkStart w:id="22" w:name="_Toc151015736"/>
      <w:bookmarkStart w:id="23" w:name="_Toc151015574"/>
      <w:bookmarkStart w:id="24" w:name="_Toc175145907"/>
      <w:r>
        <w:rPr>
          <w:shd w:fill="FFFFFF" w:val="clear"/>
          <w:lang w:val="ru-RU"/>
        </w:rPr>
        <w:t>1.6.1. Услуги оказываются</w:t>
      </w:r>
      <w:r>
        <w:rPr>
          <w:shd w:fill="FFFFFF" w:val="clear"/>
        </w:rPr>
        <w:t xml:space="preserve"> в таком объеме, который позволяет начать эксплуатацию </w:t>
      </w:r>
      <w:r>
        <w:rPr>
          <w:shd w:fill="FFFFFF" w:val="clear"/>
          <w:lang w:val="ru-RU"/>
        </w:rPr>
        <w:t>оказанных услуг</w:t>
      </w:r>
      <w:r>
        <w:rPr>
          <w:shd w:fill="FFFFFF" w:val="clear"/>
        </w:rPr>
        <w:t xml:space="preserve"> без проведения закупочных процедур Заказчиком, включающих дополнительные объёмы каких-либо материалов, оборудования и услуг, выявленных в процессе оказания услуг. </w:t>
      </w:r>
      <w:r>
        <w:rPr>
          <w:shd w:fill="FFFFFF" w:val="clear"/>
          <w:lang w:val="ru-RU"/>
        </w:rPr>
        <w:t>Услуги</w:t>
      </w:r>
      <w:r>
        <w:rPr>
          <w:shd w:fill="FFFFFF" w:val="clear"/>
        </w:rPr>
        <w:t xml:space="preserve"> считаются выполненными после приемки </w:t>
      </w:r>
      <w:r>
        <w:rPr>
          <w:shd w:fill="FFFFFF" w:val="clear"/>
          <w:lang w:val="ru-RU"/>
        </w:rPr>
        <w:t>услуг</w:t>
      </w:r>
      <w:r>
        <w:rPr>
          <w:shd w:fill="FFFFFF" w:val="clear"/>
        </w:rPr>
        <w:t xml:space="preserve"> комиссией филиала ПАО «РусГидро» - «Саратовская ГЭС» с оформлением отчётной документации со стороны Исполнителя.</w:t>
      </w:r>
      <w:bookmarkEnd w:id="22"/>
      <w:bookmarkEnd w:id="23"/>
      <w:bookmarkEnd w:id="24"/>
      <w:r>
        <w:rPr>
          <w:shd w:fill="FFFFFF" w:val="clear"/>
        </w:rPr>
        <w:t xml:space="preserve"> </w:t>
      </w:r>
    </w:p>
    <w:p>
      <w:pPr>
        <w:pStyle w:val="Heading1"/>
        <w:ind w:left="0" w:hanging="0"/>
        <w:rPr>
          <w:sz w:val="24"/>
          <w:szCs w:val="24"/>
          <w:shd w:fill="FFFFFF" w:val="clear"/>
        </w:rPr>
      </w:pPr>
      <w:bookmarkStart w:id="25" w:name="_Toc175145908"/>
      <w:bookmarkStart w:id="26" w:name="_Toc51339693"/>
      <w:bookmarkStart w:id="27" w:name="_Toc151015737"/>
      <w:r>
        <w:rPr>
          <w:b/>
          <w:sz w:val="24"/>
          <w:szCs w:val="24"/>
          <w:shd w:fill="FFFFFF" w:val="clear"/>
          <w:lang w:val="ru-RU"/>
        </w:rPr>
        <w:t xml:space="preserve">2. </w:t>
      </w:r>
      <w:r>
        <w:rPr>
          <w:b/>
          <w:sz w:val="24"/>
          <w:szCs w:val="24"/>
          <w:shd w:fill="FFFFFF" w:val="clear"/>
        </w:rPr>
        <w:t>Требования к продукции</w:t>
      </w:r>
      <w:bookmarkEnd w:id="25"/>
      <w:bookmarkEnd w:id="26"/>
      <w:bookmarkEnd w:id="27"/>
    </w:p>
    <w:p>
      <w:pPr>
        <w:pStyle w:val="Heading4"/>
        <w:ind w:left="0" w:hanging="0"/>
        <w:rPr>
          <w:shd w:fill="FFFFFF" w:val="clear"/>
        </w:rPr>
      </w:pPr>
      <w:bookmarkStart w:id="28" w:name="_Toc151015738"/>
      <w:r>
        <w:rPr>
          <w:shd w:fill="FFFFFF" w:val="clear"/>
          <w:lang w:val="ru-RU"/>
        </w:rPr>
        <w:t xml:space="preserve">2.1. </w:t>
      </w:r>
      <w:r>
        <w:rPr>
          <w:shd w:fill="FFFFFF" w:val="clear"/>
        </w:rPr>
        <w:t xml:space="preserve">Требования к объемам и срокам </w:t>
      </w:r>
      <w:r>
        <w:rPr>
          <w:shd w:fill="FFFFFF" w:val="clear"/>
          <w:lang w:val="ru-RU"/>
        </w:rPr>
        <w:t>оказания услуг.</w:t>
      </w:r>
      <w:bookmarkEnd w:id="28"/>
    </w:p>
    <w:p>
      <w:pPr>
        <w:pStyle w:val="Heading3"/>
        <w:ind w:left="0" w:hanging="0"/>
        <w:rPr>
          <w:shd w:fill="FFFFFF" w:val="clear"/>
        </w:rPr>
      </w:pPr>
      <w:bookmarkStart w:id="29" w:name="_Toc151015739"/>
      <w:bookmarkStart w:id="30" w:name="_Toc175145909"/>
      <w:r>
        <w:rPr>
          <w:shd w:fill="FFFFFF" w:val="clear"/>
          <w:lang w:val="ru-RU"/>
        </w:rPr>
        <w:t xml:space="preserve">2.1.1 </w:t>
      </w:r>
      <w:r>
        <w:rPr>
          <w:shd w:fill="FFFFFF" w:val="clear"/>
        </w:rPr>
        <w:t xml:space="preserve">Требования к видам и объемам </w:t>
      </w:r>
      <w:r>
        <w:rPr>
          <w:shd w:fill="FFFFFF" w:val="clear"/>
          <w:lang w:val="ru-RU"/>
        </w:rPr>
        <w:t>услуг.</w:t>
      </w:r>
      <w:bookmarkEnd w:id="29"/>
      <w:bookmarkEnd w:id="30"/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Разработка в соответствии с требованиями МДС 12-29.2006 и согласование за 30 календарных дней до начала оказания услуг с Заказчиком Технологической карты.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Подготовительные </w:t>
      </w:r>
      <w:r>
        <w:rPr>
          <w:sz w:val="24"/>
          <w:szCs w:val="24"/>
          <w:shd w:fill="FFFFFF" w:val="clear"/>
          <w:lang w:val="en-US" w:eastAsia="x-none"/>
        </w:rPr>
        <w:t>мероприятия</w:t>
      </w:r>
      <w:r>
        <w:rPr>
          <w:sz w:val="24"/>
          <w:szCs w:val="24"/>
          <w:shd w:fill="FFFFFF" w:val="clear"/>
          <w:lang w:eastAsia="x-none"/>
        </w:rPr>
        <w:t>:</w:t>
      </w:r>
    </w:p>
    <w:p>
      <w:pPr>
        <w:pStyle w:val="Normal"/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>- Осмотр оборудования, уточнение с Заказчиком перечня услуг;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 xml:space="preserve">Услуги оказываются </w:t>
      </w:r>
      <w:r>
        <w:rPr>
          <w:sz w:val="24"/>
          <w:szCs w:val="24"/>
          <w:shd w:fill="FFFFFF" w:val="clear"/>
          <w:lang w:eastAsia="x-none"/>
        </w:rPr>
        <w:t xml:space="preserve">согласно перечня услуг по подводно-техническому обслуживанию оборудования Саратовской ГЭС ; (Приложение №1 к Техническим требованиям);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>Предъявление Объекта оказанных услуг комиссии Заказчика, оформление отчетной и исполнительной документации;</w:t>
      </w:r>
    </w:p>
    <w:p>
      <w:pPr>
        <w:pStyle w:val="Style27"/>
        <w:numPr>
          <w:ilvl w:val="0"/>
          <w:numId w:val="0"/>
        </w:numPr>
        <w:ind w:left="0" w:hanging="0"/>
        <w:jc w:val="left"/>
        <w:outlineLvl w:val="0"/>
        <w:rPr>
          <w:shd w:fill="FFFFFF" w:val="clear"/>
        </w:rPr>
      </w:pPr>
      <w:bookmarkStart w:id="31" w:name="_Toc151015740"/>
      <w:bookmarkStart w:id="32" w:name="_Toc175145910"/>
      <w:r>
        <w:rPr>
          <w:shd w:fill="FFFFFF" w:val="clear"/>
        </w:rPr>
        <w:t>Таблица</w:t>
      </w:r>
      <w:r>
        <w:rPr>
          <w:shd w:fill="FFFFFF" w:val="clear"/>
          <w:lang w:val="ru-RU"/>
        </w:rPr>
        <w:t> 2</w:t>
      </w:r>
      <w:r>
        <w:rPr>
          <w:shd w:fill="FFFFFF" w:val="clear"/>
        </w:rPr>
        <w:t xml:space="preserve">. </w:t>
      </w:r>
      <w:r>
        <w:rPr>
          <w:shd w:fill="FFFFFF" w:val="clear"/>
          <w:lang w:val="ru-RU"/>
        </w:rPr>
        <w:t>Перечень и объем оказываемых услуг</w:t>
      </w:r>
      <w:bookmarkEnd w:id="31"/>
      <w:bookmarkEnd w:id="32"/>
    </w:p>
    <w:tbl>
      <w:tblPr>
        <w:tblW w:w="9698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38"/>
        <w:gridCol w:w="5845"/>
        <w:gridCol w:w="1702"/>
        <w:gridCol w:w="1412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услуг / этапа услуг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Единица измерения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Количество</w:t>
            </w:r>
          </w:p>
        </w:tc>
      </w:tr>
      <w:tr>
        <w:trPr>
          <w:trHeight w:val="347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iCs/>
                <w:shd w:fill="FFFFFF" w:val="clear"/>
              </w:rPr>
            </w:pPr>
            <w:r>
              <w:rPr>
                <w:iCs/>
                <w:shd w:fill="FFFFFF" w:val="clear"/>
              </w:rPr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11"/>
              <w:widowControl w:val="false"/>
              <w:shd w:val="clear" w:color="auto" w:fill="auto"/>
              <w:spacing w:lineRule="exact" w:line="274" w:before="0" w:after="223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  <w:shd w:fill="FFFFFF" w:val="clear"/>
              </w:rPr>
              <w:t>Оказание услуг по подводно-техническому</w:t>
            </w:r>
            <w:r>
              <w:rPr>
                <w:rStyle w:val="23"/>
                <w:rFonts w:eastAsia="Calibri"/>
                <w:b/>
                <w:bCs/>
                <w:color w:val="000000"/>
                <w:sz w:val="24"/>
                <w:szCs w:val="24"/>
              </w:rPr>
              <w:t xml:space="preserve"> обслуживанию оборудования </w:t>
            </w:r>
            <w:r>
              <w:rPr>
                <w:b w:val="false"/>
                <w:sz w:val="24"/>
                <w:szCs w:val="24"/>
                <w:shd w:fill="FFFFFF" w:val="clear"/>
              </w:rPr>
              <w:t>Саратовской ГЭС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319" w:hanging="283"/>
              <w:rPr>
                <w:iCs/>
                <w:shd w:fill="FFFFFF" w:val="clear"/>
              </w:rPr>
            </w:pPr>
            <w:r>
              <w:rPr>
                <w:iCs/>
                <w:shd w:fill="FFFFFF" w:val="clear"/>
              </w:rPr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Согласно перечня  услуг по подводно-техническому обслуживанию Саратовской ГЭС ; (Приложение №1 к Техническим требованиям)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Heading3"/>
        <w:rPr>
          <w:shd w:fill="FFFFFF" w:val="clear"/>
        </w:rPr>
      </w:pPr>
      <w:bookmarkStart w:id="33" w:name="_Toc151015741"/>
      <w:bookmarkStart w:id="34" w:name="_Toc175145911"/>
      <w:bookmarkStart w:id="35" w:name="_Toc51339696"/>
      <w:r>
        <w:rPr>
          <w:shd w:fill="FFFFFF" w:val="clear"/>
          <w:lang w:val="ru-RU"/>
        </w:rPr>
        <w:t xml:space="preserve">2.1.2. </w:t>
      </w:r>
      <w:r>
        <w:rPr>
          <w:shd w:fill="FFFFFF" w:val="clear"/>
        </w:rPr>
        <w:t xml:space="preserve">Требования </w:t>
      </w:r>
      <w:bookmarkEnd w:id="35"/>
      <w:r>
        <w:rPr>
          <w:shd w:fill="FFFFFF" w:val="clear"/>
        </w:rPr>
        <w:t>к срокам оказания услуг</w:t>
      </w:r>
      <w:r>
        <w:rPr>
          <w:shd w:fill="FFFFFF" w:val="clear"/>
          <w:lang w:val="ru-RU"/>
        </w:rPr>
        <w:t>.</w:t>
      </w:r>
      <w:bookmarkEnd w:id="33"/>
      <w:bookmarkEnd w:id="34"/>
    </w:p>
    <w:p>
      <w:pPr>
        <w:pStyle w:val="Normal"/>
        <w:numPr>
          <w:ilvl w:val="1"/>
          <w:numId w:val="16"/>
        </w:numPr>
        <w:tabs>
          <w:tab w:val="clear" w:pos="708"/>
          <w:tab w:val="left" w:pos="993" w:leader="none"/>
        </w:tabs>
        <w:rPr>
          <w:sz w:val="24"/>
          <w:szCs w:val="24"/>
          <w:shd w:fill="FFFFFF" w:val="clear"/>
        </w:rPr>
      </w:pPr>
      <w:bookmarkStart w:id="36" w:name="_Toc50125127"/>
      <w:bookmarkStart w:id="37" w:name="_Toc51339697"/>
      <w:bookmarkStart w:id="38" w:name="_Toc501251261"/>
      <w:bookmarkEnd w:id="38"/>
      <w:r>
        <w:rPr>
          <w:sz w:val="24"/>
          <w:szCs w:val="24"/>
          <w:shd w:fill="FFFFFF" w:val="clear"/>
          <w:lang w:eastAsia="x-none"/>
        </w:rPr>
        <w:t xml:space="preserve">Сроки 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Саратовской ГЭС </w:t>
      </w:r>
      <w:r>
        <w:rPr>
          <w:sz w:val="24"/>
          <w:szCs w:val="24"/>
          <w:shd w:fill="FFFFFF" w:val="clear"/>
          <w:lang w:eastAsia="x-none"/>
        </w:rPr>
        <w:t>представлены в перечне услуг (Приложение №1 к Техническим требованиям) и Таблице 3. «Требования по срокам оказания услуг» настоящих ТТ.</w:t>
      </w:r>
    </w:p>
    <w:p>
      <w:pPr>
        <w:pStyle w:val="Normal"/>
        <w:numPr>
          <w:ilvl w:val="1"/>
          <w:numId w:val="16"/>
        </w:numPr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  </w:t>
      </w:r>
      <w:r>
        <w:rPr>
          <w:sz w:val="24"/>
          <w:szCs w:val="24"/>
          <w:shd w:fill="FFFFFF" w:val="clear"/>
          <w:lang w:eastAsia="x-none"/>
        </w:rPr>
        <w:t xml:space="preserve">Сроки 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оборудования Саратовской ГЭС </w:t>
      </w:r>
      <w:r>
        <w:rPr>
          <w:sz w:val="24"/>
          <w:szCs w:val="24"/>
          <w:shd w:fill="FFFFFF" w:val="clear"/>
          <w:lang w:eastAsia="x-none"/>
        </w:rPr>
        <w:t>могут быть изменены в связи с режимом работы Саратовской ГЭС и фактическим состоянием оборудования в соответствии с подаваемыми ежегодными и месячными плановыми графиками ремонтов основного оборудования, и согласованными диспетчерскими заявками.</w:t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Heading1"/>
        <w:rPr>
          <w:sz w:val="24"/>
          <w:szCs w:val="24"/>
          <w:shd w:fill="FFFFFF" w:val="clear"/>
        </w:rPr>
      </w:pPr>
      <w:bookmarkStart w:id="39" w:name="_Toc151015742"/>
      <w:bookmarkStart w:id="40" w:name="_Toc175145912"/>
      <w:r>
        <w:rPr>
          <w:b/>
          <w:sz w:val="24"/>
          <w:szCs w:val="24"/>
          <w:shd w:fill="FFFFFF" w:val="clear"/>
        </w:rPr>
        <w:t xml:space="preserve">Таблица </w:t>
      </w:r>
      <w:r>
        <w:rPr>
          <w:b/>
          <w:sz w:val="24"/>
          <w:szCs w:val="24"/>
          <w:shd w:fill="FFFFFF" w:val="clear"/>
          <w:lang w:val="ru-RU"/>
        </w:rPr>
        <w:t>3</w:t>
      </w:r>
      <w:r>
        <w:rPr>
          <w:b/>
          <w:sz w:val="24"/>
          <w:szCs w:val="24"/>
          <w:shd w:fill="FFFFFF" w:val="clear"/>
        </w:rPr>
        <w:t xml:space="preserve">. </w:t>
      </w:r>
      <w:bookmarkStart w:id="41" w:name="_Hlk50465284"/>
      <w:r>
        <w:rPr>
          <w:b/>
          <w:sz w:val="24"/>
          <w:szCs w:val="24"/>
          <w:shd w:fill="FFFFFF" w:val="clear"/>
        </w:rPr>
        <w:t xml:space="preserve">Требования по срокам </w:t>
      </w:r>
      <w:bookmarkEnd w:id="36"/>
      <w:bookmarkEnd w:id="37"/>
      <w:bookmarkEnd w:id="41"/>
      <w:r>
        <w:rPr>
          <w:b/>
          <w:sz w:val="24"/>
          <w:szCs w:val="24"/>
          <w:shd w:fill="FFFFFF" w:val="clear"/>
          <w:lang w:val="ru-RU"/>
        </w:rPr>
        <w:t>оказания услуг</w:t>
      </w:r>
      <w:bookmarkEnd w:id="39"/>
      <w:bookmarkEnd w:id="40"/>
    </w:p>
    <w:tbl>
      <w:tblPr>
        <w:tblW w:w="9351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19"/>
        <w:gridCol w:w="4111"/>
        <w:gridCol w:w="2693"/>
        <w:gridCol w:w="1927"/>
      </w:tblGrid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№ </w:t>
            </w: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услуг/ этапа оказания услуг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Требования к началу срока оказания услуг/ этапа оказания услуг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Требования к окончанию срока оказания услуг / этапа оказания услуг</w:t>
            </w:r>
          </w:p>
        </w:tc>
      </w:tr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1 этап. Водолазный осмотр верха затворов 216СЮ в количестве 49шт. Водолазное обследование конструкций подводных частей гидротехнических сооружений в речных условиях 918м2.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До 30.0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3</w:t>
            </w:r>
            <w:r>
              <w:rPr>
                <w:iCs/>
                <w:sz w:val="24"/>
                <w:szCs w:val="24"/>
                <w:shd w:fill="FFFFFF" w:val="clear"/>
              </w:rPr>
              <w:t>.2027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*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  <w:tr>
        <w:trPr>
          <w:trHeight w:val="4029" w:hRule="atLeast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  <w:bookmarkStart w:id="42" w:name="_Toc467435101"/>
            <w:bookmarkStart w:id="43" w:name="_Toc467435101"/>
            <w:bookmarkEnd w:id="43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1 этап. Водолазный осмотр водоприёмного отверстия ТВС Ду1000, очистка, устранение мелких дефектов решетки в количестве 6шт.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Водолазное обследование конструкций подводных частей гидротехнических сооружений ,в речных условиях  (Площадь осматриваемой поверхности -  1х1=1м2 -1 отверстие)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bookmarkStart w:id="44" w:name="_GoBack"/>
            <w:bookmarkEnd w:id="44"/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Устройство майны 2 х 2 м с ЛБ и ПБ для спусков водолазов под лед в зимний период времени (Водолазный осмотр ВПО) -2шт.</w:t>
            </w:r>
          </w:p>
          <w:p>
            <w:pPr>
              <w:pStyle w:val="Normal"/>
              <w:widowControl w:val="false"/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До 30.0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3</w:t>
            </w:r>
            <w:r>
              <w:rPr>
                <w:iCs/>
                <w:sz w:val="24"/>
                <w:szCs w:val="24"/>
                <w:shd w:fill="FFFFFF" w:val="clear"/>
              </w:rPr>
              <w:t>.2027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*</w:t>
            </w:r>
          </w:p>
        </w:tc>
      </w:tr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 xml:space="preserve">2 этап. </w:t>
            </w:r>
            <w:r>
              <w:rPr>
                <w:rFonts w:eastAsia="Calibri"/>
                <w:sz w:val="24"/>
                <w:szCs w:val="24"/>
                <w:lang w:eastAsia="x-none"/>
              </w:rPr>
              <w:t>Подводная электросварка внахлестку, толщина свариваемой стали: от 8 до 10 мм, положение реза вертикальное (2м. сварного шва на 1 ВПО)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До 30.12.2027</w:t>
            </w:r>
            <w:r>
              <w:rPr>
                <w:iCs/>
                <w:sz w:val="24"/>
                <w:szCs w:val="24"/>
                <w:lang w:val="en-US"/>
              </w:rPr>
              <w:t>*</w:t>
            </w:r>
          </w:p>
        </w:tc>
      </w:tr>
      <w:tr>
        <w:trPr/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3 этап. Водолазный осмотр водоприёмного отверстия ТВС Ду1000, очистка, устранение мелких дефектов решетки в количестве 6шт.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Водолазное обследование конструкций подводных частей гидротехнических сооружений ,в речных условиях  (Площадь осматриваемой поверхности -  1х1=1м2 -1 отверстие)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До 30.12.2027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*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tabs>
          <w:tab w:val="clear" w:pos="708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>*срок установлен в соответствии с условиями договора, указанного в п. 1.4.1. Технических требований</w:t>
      </w:r>
    </w:p>
    <w:p>
      <w:pPr>
        <w:pStyle w:val="Heading4"/>
        <w:rPr>
          <w:shd w:fill="FFFFFF" w:val="clear"/>
        </w:rPr>
      </w:pPr>
      <w:bookmarkStart w:id="45" w:name="_Toc51339698"/>
      <w:bookmarkStart w:id="46" w:name="_Toc151015743"/>
      <w:r>
        <w:rPr>
          <w:shd w:fill="FFFFFF" w:val="clear"/>
          <w:lang w:val="ru-RU"/>
        </w:rPr>
        <w:t xml:space="preserve">2.2 </w:t>
      </w:r>
      <w:r>
        <w:rPr>
          <w:shd w:fill="FFFFFF" w:val="clear"/>
        </w:rPr>
        <w:t xml:space="preserve">Требования к </w:t>
      </w:r>
      <w:r>
        <w:rPr>
          <w:shd w:fill="FFFFFF" w:val="clear"/>
          <w:lang w:val="ru-RU"/>
        </w:rPr>
        <w:t>качеству оказанных услуг</w:t>
      </w:r>
      <w:bookmarkEnd w:id="46"/>
    </w:p>
    <w:p>
      <w:pPr>
        <w:pStyle w:val="Heading1"/>
        <w:rPr>
          <w:sz w:val="24"/>
          <w:szCs w:val="24"/>
          <w:shd w:fill="FFFFFF" w:val="clear"/>
        </w:rPr>
      </w:pPr>
      <w:bookmarkStart w:id="47" w:name="_Toc151015744"/>
      <w:bookmarkStart w:id="48" w:name="_Toc175145913"/>
      <w:r>
        <w:rPr>
          <w:b/>
          <w:sz w:val="24"/>
          <w:szCs w:val="24"/>
          <w:shd w:fill="FFFFFF" w:val="clear"/>
        </w:rPr>
        <w:t>Таблица </w:t>
      </w:r>
      <w:r>
        <w:rPr>
          <w:b/>
          <w:sz w:val="24"/>
          <w:szCs w:val="24"/>
          <w:shd w:fill="FFFFFF" w:val="clear"/>
          <w:lang w:val="ru-RU"/>
        </w:rPr>
        <w:t>4</w:t>
      </w:r>
      <w:r>
        <w:rPr>
          <w:b/>
          <w:sz w:val="24"/>
          <w:szCs w:val="24"/>
          <w:shd w:fill="FFFFFF" w:val="clear"/>
        </w:rPr>
        <w:t xml:space="preserve">. Требования к </w:t>
      </w:r>
      <w:bookmarkEnd w:id="45"/>
      <w:r>
        <w:rPr>
          <w:b/>
          <w:sz w:val="24"/>
          <w:szCs w:val="24"/>
          <w:shd w:fill="FFFFFF" w:val="clear"/>
          <w:lang w:val="ru-RU"/>
        </w:rPr>
        <w:t>качеству оказанных услуг</w:t>
      </w:r>
      <w:bookmarkEnd w:id="47"/>
      <w:bookmarkEnd w:id="48"/>
      <w:r>
        <w:rPr>
          <w:b/>
          <w:sz w:val="24"/>
          <w:szCs w:val="24"/>
          <w:shd w:fill="FFFFFF" w:val="clear"/>
        </w:rPr>
        <w:t xml:space="preserve"> </w:t>
      </w:r>
    </w:p>
    <w:p>
      <w:pPr>
        <w:pStyle w:val="Normal"/>
        <w:snapToGrid w:val="false"/>
        <w:spacing w:before="0" w:after="120"/>
        <w:rPr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  <w:t xml:space="preserve">Наименование оказанных услуг /этапа оказанных услуг (позиция № 1Таблицы 2): </w:t>
      </w:r>
      <w:r>
        <w:rPr>
          <w:bCs/>
          <w:sz w:val="24"/>
          <w:szCs w:val="24"/>
          <w:shd w:fill="FFFFFF" w:val="clear"/>
        </w:rPr>
        <w:t>Перечень</w:t>
      </w:r>
      <w:r>
        <w:rPr>
          <w:b/>
          <w:bCs/>
          <w:sz w:val="24"/>
          <w:szCs w:val="24"/>
          <w:shd w:fill="FFFFFF" w:val="clear"/>
        </w:rPr>
        <w:t xml:space="preserve"> </w:t>
      </w:r>
      <w:r>
        <w:rPr>
          <w:sz w:val="24"/>
          <w:szCs w:val="24"/>
          <w:shd w:fill="FFFFFF" w:val="clear"/>
          <w:lang w:eastAsia="x-none"/>
        </w:rPr>
        <w:t xml:space="preserve">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Саратовской ГЭС </w:t>
      </w:r>
      <w:r>
        <w:rPr>
          <w:sz w:val="24"/>
          <w:szCs w:val="24"/>
          <w:shd w:fill="FFFFFF" w:val="clear"/>
          <w:lang w:eastAsia="x-none"/>
        </w:rPr>
        <w:t>представлены в перечне услуг (Приложение №1 к Техническим требованиям)</w:t>
      </w:r>
    </w:p>
    <w:p>
      <w:pPr>
        <w:pStyle w:val="Normal"/>
        <w:snapToGrid w:val="false"/>
        <w:spacing w:before="0" w:after="120"/>
        <w:rPr>
          <w:iCs/>
          <w:sz w:val="24"/>
          <w:szCs w:val="24"/>
          <w:shd w:fill="FFFFFF" w:val="clear"/>
        </w:rPr>
      </w:pPr>
      <w:r>
        <w:rPr>
          <w:iCs/>
          <w:sz w:val="24"/>
          <w:szCs w:val="24"/>
          <w:shd w:fill="FFFFFF" w:val="clear"/>
        </w:rPr>
      </w:r>
    </w:p>
    <w:tbl>
      <w:tblPr>
        <w:tblStyle w:val="affff5"/>
        <w:tblW w:w="1504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07"/>
        <w:gridCol w:w="3659"/>
        <w:gridCol w:w="5612"/>
        <w:gridCol w:w="2376"/>
        <w:gridCol w:w="2349"/>
        <w:gridCol w:w="236"/>
      </w:tblGrid>
      <w:tr>
        <w:trPr>
          <w:trHeight w:val="322" w:hRule="atLeast"/>
        </w:trPr>
        <w:tc>
          <w:tcPr>
            <w:tcW w:w="80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п/п</w:t>
            </w:r>
          </w:p>
        </w:tc>
        <w:tc>
          <w:tcPr>
            <w:tcW w:w="365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61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Требование Заказчика</w:t>
            </w:r>
          </w:p>
        </w:tc>
        <w:tc>
          <w:tcPr>
            <w:tcW w:w="4961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36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561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36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</w:t>
            </w:r>
          </w:p>
        </w:tc>
        <w:tc>
          <w:tcPr>
            <w:tcW w:w="5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3</w:t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shd w:fill="FFFFFF" w:val="clear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en-US" w:eastAsia="ru-RU" w:bidi="ar-SA"/>
              </w:rPr>
              <w:t>4</w:t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shd w:fill="FFFFFF" w:val="clear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en-US" w:eastAsia="ru-RU" w:bidi="ar-SA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605" w:hRule="atLeast"/>
        </w:trPr>
        <w:tc>
          <w:tcPr>
            <w:tcW w:w="807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shd w:fill="FFFFFF" w:val="clear"/>
              </w:rPr>
            </w:pPr>
            <w:r>
              <w:rPr>
                <w:b/>
                <w:bCs/>
                <w:shd w:fill="FFFFFF" w:val="clear"/>
              </w:rPr>
            </w:r>
          </w:p>
        </w:tc>
        <w:tc>
          <w:tcPr>
            <w:tcW w:w="9271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Общие требования к оказанию услуг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12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Оказание услуг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по подводно-техническому обслуживанию Саратовской ГЭС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представлены в перечне услуг (Приложение №1 к Техническим требованиям)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и Таблице 3. «Требования по срокам оказания услуг» настоящих ТТ</w:t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Перечень услуг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может быть скорректирован в соответствии с графиком ремонтов оборудования.</w:t>
            </w:r>
          </w:p>
        </w:tc>
        <w:tc>
          <w:tcPr>
            <w:tcW w:w="237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000" w:hRule="atLeast"/>
        </w:trPr>
        <w:tc>
          <w:tcPr>
            <w:tcW w:w="80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b/>
                <w:bCs/>
                <w:shd w:fill="FFFFFF" w:val="clear"/>
              </w:rPr>
            </w:pPr>
            <w:r>
              <w:rPr>
                <w:b/>
                <w:bCs/>
                <w:shd w:fill="FFFFFF" w:val="clear"/>
              </w:rPr>
            </w:r>
          </w:p>
        </w:tc>
        <w:tc>
          <w:tcPr>
            <w:tcW w:w="9271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Соблюдение при оказании услуг норм и правил нормативно-технических документов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561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ГОСТ Р 70750-2023 «ГЭС. Гидротехнические сооружения. Подводно-техническое обследование состояния гидротехнических сооружений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 примыкающих к ним участков неукрепленного русла»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Минтруда России от 17.12.2020 N 922н</w:t>
              <w:br/>
              <w:t>"Об утверждении Правил по охране труда при проведении водолазных работ"</w:t>
              <w:br/>
              <w:t>(Зарегистрировано в Минюсте России 29.12.2020 N 61927);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от 26 ноября 2020 года N 461 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hyperlink r:id="rId5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РД 153-34.0-03.301-00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(</w:t>
            </w:r>
            <w:hyperlink r:id="rId6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*). Правила пожарной безопасности для энергетических предприятий"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РФ </w:t>
            </w:r>
            <w:hyperlink r:id="rId7" w:tgtFrame="Об утверждении Правил по охране труда при работе на высоте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16.11.2020 N 782Н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об утверждении Правил по охране труда при работе на высоте — Редакция от 16.11.2020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Минтруда и социальной защиты Российской Федерации от 15 декабря 2020 года N 903н Об утверждении Правил по охране труда при эксплуатации электроустановок;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России </w:t>
            </w:r>
            <w:hyperlink r:id="rId8" w:tgtFrame="Об утверждении Правил по охране труда при размещении, монтаже, техническом обслуживании и ремонте технологического оборудования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27.11.2020 N 833н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"Об утверждении Правил по охране труда при размещении, монтаже, техническом обслуживании и ремонте технологического оборудования" (Зарегистрировано в Минюсте России 11.12.2020 N 61413)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России </w:t>
            </w:r>
            <w:hyperlink r:id="rId9" w:tgtFrame="Об утверждении Правил по охране труда при работе с инструментом и приспособлениями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27.11.2020 N 835н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"Об утверждении Правил по охране труда при работе с инструментом и приспособлениями" (Зарегистрировано в Минюсте России 11.12.2020 N 61411);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РД 153 -34.0-03.301-00 (</w:t>
            </w:r>
            <w:hyperlink r:id="rId10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) «Правила пожарной безопасности для энергетических предприятий»;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Постановление Правительства РФ </w:t>
            </w:r>
            <w:hyperlink r:id="rId11" w:tgtFrame="Об утверждении Правил противопожарного режима в Российской Федерации (с изменениями на 21 мая 2021 года)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16 сентября 2020 г. N 1479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«Об утверждении Правил противопожарного режима в Российской Федерации»; Обеспечение техники безопасности при оказании услуг, выполнение технических и организационных мероприятий, комплектность персонала.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организации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Услуги оказываются в соответствии с НТД, указанными в п. 1.1.1 раздела 1.1 настоящих ТТ;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Услуги оказываются в соответствии утвержденной Исполнителем за 30 дней до начала оказания услуг технологической картой.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Текущий контроль должен включать в себя надзор за правильностью и последовательностью выполнения отдельных технологических операций.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Приемочный контроль перечень этапов и видов услуг, подлежащих приемке, должен быть согласован с Заказчиком.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        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Допуск персонала Исполнителя для оказания услуг осуществляется в соответствии с Приказом ПАО_РусГидро от 28.04.2023 №300_Об утверждении Регламента процесса Допуска подрядных организаций на объекты ПАО РусГидро (Приложение 3) с обязательным оформлением необходимых нарядов-допусков.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Подготовку рабочих мест и допуск к оказанию услуг выполняет персонал Саратовской ГЭС.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3117" w:hRule="atLeast"/>
        </w:trPr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Квалификация персонала Исполнителя, привлекаемого к оказанию услуг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соответствии с Едиными правила безопасности труда на водолазных работах Исполнитель должен иметь в штате (или иметь возможность привлечения) следующий квалифицированный персонал: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Водолаз 1-го -3го класса, 5-6 разряда- не менее 4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Допуск водолазов к водолазным спускам и работам осуществляется только при наличии оформленного у них свидетельства об окончании водолазной школы (курсов), личной книжки водолаза, личной медицинской книжки водолаза с положительным заключением, водолазной медицинской комиссии (ВМК) о пригодности к водолазным работам, с указанием установленной глубины погружения в текущем году, а так же после ежегодного подтверждения ВКК их квалификации.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соответствии с Правилами по охране труда при эксплуатации электроустановок Исполнитель должен иметь в штате (или иметь возможность привлечения):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квалифицированный рабочий персонал с группами по электробезопасности (не ниже 3 группы) - не менее 4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административно-технический персонал с указанием групп по электробезопасности (не ниже 3 группы) – не менее 1 человека;</w:t>
            </w:r>
          </w:p>
          <w:p>
            <w:pPr>
              <w:pStyle w:val="Normal"/>
              <w:widowControl w:val="false"/>
              <w:numPr>
                <w:ilvl w:val="1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  <w:tab w:val="left" w:pos="428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Персонал Исполнителя должен иметь действующие удостоверения учебного комбината по категориям:</w:t>
            </w:r>
          </w:p>
          <w:p>
            <w:pPr>
              <w:pStyle w:val="BodyText3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473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Рабочий люльки;</w:t>
            </w:r>
          </w:p>
          <w:p>
            <w:pPr>
              <w:pStyle w:val="BodyText3"/>
              <w:widowControl w:val="false"/>
              <w:tabs>
                <w:tab w:val="clear" w:pos="708"/>
                <w:tab w:val="left" w:pos="175" w:leader="none"/>
                <w:tab w:val="left" w:pos="314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Работы на высоте с применением средств подмащивания (например, леса, подмости, вышки, люльки, лестницы и другие средства подмащивания), а также работы, выполняемые на площадках с защитными ограждениями высотой 1,1 м и более;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Предоставить список персонала, имеющего право быть: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руководителем водолазных работ,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руководителем водолазных спусков,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состав водолазной группы,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лица, осуществляющие медицинское обеспечение,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лица, обеспечивающие водолазные спуски и работы.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Соответствие требованию Исполнитель должен подтвердить на стадии заключения договора, предоставлением сведений о персонале с правом доступа в электроустановки до 1000В,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оказании услуг с указанием квалификации и стажем работы по профессии.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безопасности оказания услуг и охране труда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–</w:t>
            </w:r>
            <w:r>
              <w:rPr>
                <w:rFonts w:cs="Times New Roman"/>
                <w:color w:val="FF0000"/>
                <w:kern w:val="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технические и организационные возможности, комплектность персонала, безопасность оказания услуг должны соответствовать характеру оказываемых услуг.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безопасности оказания услуг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Исполнитель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должен: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suppressAutoHyphens w:val="true"/>
              <w:spacing w:before="0" w:after="0"/>
              <w:ind w:left="203" w:hanging="203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Соблюдать требования действующего федерального законодательства Российской Федерации, нормативных правовых актов субъектов Российской Федерации,  в том числе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 по проведению водолазных работ;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03" w:hanging="203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bCs/>
                <w:iCs/>
                <w:kern w:val="0"/>
                <w:shd w:fill="FFFFFF" w:val="clear"/>
                <w:lang w:val="ru-RU" w:eastAsia="ru-RU" w:bidi="ar-SA"/>
              </w:rPr>
              <w:t>2.Исполнитель</w:t>
            </w: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 xml:space="preserve"> обязан </w:t>
            </w: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направлять на объекты заказчика работников, обученных правилам безопасного ведения водолазных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результатам оказания услуг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865" w:hRule="atLeast"/>
        </w:trPr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Общие требования к результатам оказания услуг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Услуги оказываются в таком объеме, который позволяет начать эксплуатацию результатов услуг без проведения закупочных процедур Заказчиком, включающих дополнительные объёмы каких-либо материалов, оборудования и услуг, выявленных в процессе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оказания услуг  по подводно-техническому обслуживанию оборудования Саратовской ГЭС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Услуги считаются выполненными после приемки оказанных услуг комиссией филиала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ПАО «РусГидро» - «Саратовская ГЭС» с оформлением отчётной документации со стороны Исполнителя.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Результат оказанных услуг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Оказать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услуги по подводно-техническому обслуживанию Саратовской ГЭС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(Приложение №1 к настоящим Техническим требованиям):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оказания услуг, включая гарантируемые показатели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Щитовое отделение ВБ и НБ</w:t>
            </w:r>
          </w:p>
        </w:tc>
        <w:tc>
          <w:tcPr>
            <w:tcW w:w="56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before="0" w:after="0"/>
              <w:ind w:left="304" w:hanging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Водоприёмное отверстие ТВС Ду1000 с ЛБ -3шт; ПБ -3шт. св.12 до 20м</w:t>
            </w:r>
            <w:r>
              <w:rPr>
                <w:rFonts w:cs="Times New Roman"/>
                <w:kern w:val="0"/>
                <w:shd w:fill="FFFFFF" w:val="clear"/>
                <w:lang w:val="ru-RU" w:eastAsia="x-none" w:bidi="ar-SA"/>
              </w:rPr>
              <w:t xml:space="preserve"> - осмотр водоприёмных отверстий ТВС Ду1000, очистка, устранение мелких дефектов решетки с применением подводной ручной сварки</w:t>
            </w: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before="0" w:after="0"/>
              <w:ind w:left="304" w:hanging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Верха затворов 216СЮ с НБ на глубинах св.20 до 25м; гидроагрегатов ст.№1-24 Саратовской ГЭС -очистка верха затворов от посторонних предметов и осмотр конструкции на наличие повреждений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Требования к порядку приемки результатов </w:t>
            </w: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оказанных услуг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b/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Проведение испытаний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Исполнитель должен гарантировать отсутствие посторонних предметов и повреждений в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водоприёмных отверстиях ТВС Ду1000 и  на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верхах затворов 216СЮ.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оформлению документации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Представить Заказчику технический акт оказанных услуг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Отчётные документы представить на бумажном носителе в 3 экземплярах, на электронном носителе в 1 экземпляре в форматах *.dwg, *.vsd, *.dос, *.хls.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Исполнитель обязан передать Заказчику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технический акт оказанных услуг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в течении 3-х календарных дней после окончания оказания услуг каждого этапа.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ответственности и гарантиям Исполнителя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В случае повреждения оборудования, строительных конструкций в ходе оказания услуг Исполнитель обязуется устранить возникшие повреждения за свой счет в согласованные с Заказчиком сроки, но не позднее 15 дней с момента подписания акта приемки оказанных услуг.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Для участия в составлении акта, фиксирующего дефекты, согласования порядка и сроков их устранения Исполнитель обязан направить своего представителя в течение суток со дня получения письменного извещения Заказчика.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lang w:val="ru-RU" w:eastAsia="ru-RU"/>
              </w:rPr>
            </w:pPr>
            <w:bookmarkStart w:id="49" w:name="_Toc151015745"/>
            <w:bookmarkStart w:id="50" w:name="_Toc175145914"/>
            <w:r>
              <w:rPr>
                <w:rFonts w:eastAsia="Times New Roman" w:cs="Times New Roman"/>
                <w:b w:val="false"/>
                <w:iCs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Гарантийный срок на результат</w:t>
            </w:r>
            <w:r>
              <w:rPr>
                <w:rFonts w:eastAsia="Times New Roman" w:cs="Times New Roman"/>
                <w:iCs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iCs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оказанных услуг</w:t>
            </w:r>
            <w:bookmarkEnd w:id="49"/>
            <w:bookmarkEnd w:id="50"/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b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подрядчику (и Исполнителям) и его обязательствам, влияющим на исполнение договора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Персонал Исполнителя обеспечивает поддержание чистоты на рабочих местах, своевременную уборку и ликвидацию отходов по окончании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своевременно предупреждает Заказчика о необходимости оказания дополнительных Услуг.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обеспечивает сохранность и возврат Заказчику материалов, демонтированного оборудования или его частей (в том числе черных и цветных металлов), выбывших из эксплуатации в результате оказания услуг, а также выбывших из эксплуатации в результате аварии, повреждения, с внесением соответствующих изменений в перечень Объектов.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представляет Заказчику по его запросу письменный отчет о текущем исполнении своих обязательств.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iCs/>
                <w:sz w:val="24"/>
                <w:szCs w:val="24"/>
                <w:shd w:fill="FFFFFF" w:val="clear"/>
              </w:rPr>
            </w:pPr>
            <w:r>
              <w:rPr>
                <w:b/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iCs/>
                <w:sz w:val="24"/>
                <w:szCs w:val="24"/>
                <w:shd w:fill="FFFFFF" w:val="clear"/>
              </w:rPr>
            </w:pPr>
            <w:r>
              <w:rPr>
                <w:b/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b/>
                <w:shd w:fill="FFFFFF" w:val="clear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субсубподрядным организациям, привлекаемым к оказанию услуг.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случае привлечения к оказанию услуг субсубподрядных организаций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51" w:name="_Toc175145915"/>
      <w:r>
        <w:rPr>
          <w:b/>
          <w:sz w:val="24"/>
          <w:szCs w:val="24"/>
          <w:shd w:fill="FFFFFF" w:val="clear"/>
          <w:lang w:val="ru-RU"/>
        </w:rPr>
        <w:t>3.Требования к документации по ценообразованию на этапе закупки</w:t>
      </w:r>
      <w:bookmarkEnd w:id="51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конкурсного коэффициента). Дополнительные документы по ценообразованию (расчет стоимости) в состав заявки Участника не включается.</w:t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52" w:name="_Toc175145916"/>
      <w:r>
        <w:rPr>
          <w:b/>
          <w:sz w:val="24"/>
          <w:szCs w:val="24"/>
          <w:shd w:fill="FFFFFF" w:val="clear"/>
          <w:lang w:val="ru-RU"/>
        </w:rPr>
        <w:t>4.Требования к документации по ценообразованию на этапе заключения (исполнения) договора.</w:t>
      </w:r>
      <w:bookmarkEnd w:id="52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Расчет стоимости составлять и оформлять в соответствии с требованиями к документации по ценообразованию (Приложение №2 к настоящим техническим требованиям) с принятием конкурсного коэффициента, указанного в заявке Участника, с которым принято решение заключить договор, коэффициент начисляется в каждом расчете стоимости к итогу.</w:t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53" w:name="_Toc175145917"/>
      <w:r>
        <w:rPr>
          <w:b/>
          <w:sz w:val="24"/>
          <w:szCs w:val="24"/>
          <w:shd w:fill="FFFFFF" w:val="clear"/>
          <w:lang w:val="ru-RU"/>
        </w:rPr>
        <w:t>5. Приложения.</w:t>
      </w:r>
      <w:bookmarkEnd w:id="53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Приложение № 1 - Перечень услуг по подводно-техническому обслуживанию Саратовской ГЭС.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Приложение №2 - Требования к оформлению и составлению расчетов на оказание работ/услуг по программе технического обслуживания энергооборудования, сетей, зданий и сооружений.</w:t>
      </w:r>
    </w:p>
    <w:p>
      <w:pPr>
        <w:pStyle w:val="Normal"/>
        <w:tabs>
          <w:tab w:val="clear" w:pos="708"/>
          <w:tab w:val="left" w:pos="7500" w:leader="none"/>
        </w:tabs>
        <w:rPr>
          <w:sz w:val="24"/>
          <w:szCs w:val="24"/>
        </w:rPr>
      </w:pPr>
      <w:r>
        <w:rPr>
          <w:sz w:val="24"/>
          <w:szCs w:val="24"/>
        </w:rPr>
        <w:t>Приложение №3 - Приказ ПАО_РусГидро от 28.04.2023 №300_Об утверждении Регламента процесса Допуск подрядных организаций на объекты ПАО РусГидро</w:t>
      </w:r>
    </w:p>
    <w:sectPr>
      <w:headerReference w:type="default" r:id="rId12"/>
      <w:headerReference w:type="first" r:id="rId13"/>
      <w:type w:val="nextPage"/>
      <w:pgSz w:orient="landscape" w:w="16838" w:h="11906"/>
      <w:pgMar w:left="992" w:right="567" w:gutter="0" w:header="680" w:top="851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stem-ui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682633B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682633B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1.%2."/>
      <w:lvlJc w:val="left"/>
      <w:pPr>
        <w:tabs>
          <w:tab w:val="num" w:pos="0"/>
        </w:tabs>
        <w:ind w:left="0" w:hanging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2.%2."/>
      <w:lvlJc w:val="left"/>
      <w:pPr>
        <w:tabs>
          <w:tab w:val="num" w:pos="142"/>
        </w:tabs>
        <w:ind w:left="142" w:hanging="0"/>
      </w:pPr>
      <w:rPr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7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76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eb26bf"/>
    <w:pPr>
      <w:keepNext w:val="true"/>
      <w:spacing w:before="120" w:after="60"/>
      <w:ind w:left="133" w:hanging="0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basedOn w:val="DefaultParagraphFont"/>
    <w:uiPriority w:val="99"/>
    <w:unhideWhenUsed/>
    <w:rsid w:val="00ee11a1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eb26b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99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5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Fontstyle01" w:customStyle="1">
    <w:name w:val="fontstyle01"/>
    <w:basedOn w:val="DefaultParagraphFont"/>
    <w:qFormat/>
    <w:rsid w:val="00f554d7"/>
    <w:rPr>
      <w:rFonts w:ascii="TimesNewRomanPSMT" w:hAnsi="TimesNewRomanPSMT"/>
      <w:b w:val="false"/>
      <w:bCs w:val="false"/>
      <w:i w:val="false"/>
      <w:iCs w:val="false"/>
      <w:color w:val="000000"/>
      <w:sz w:val="26"/>
      <w:szCs w:val="26"/>
    </w:rPr>
  </w:style>
  <w:style w:type="character" w:styleId="23" w:customStyle="1">
    <w:name w:val="Основной текст (2)_"/>
    <w:link w:val="211"/>
    <w:qFormat/>
    <w:locked/>
    <w:rsid w:val="00e97d10"/>
    <w:rPr>
      <w:b/>
      <w:bCs/>
      <w:sz w:val="22"/>
      <w:szCs w:val="22"/>
      <w:shd w:fill="FFFFFF" w:val="clear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11" w:customStyle="1">
    <w:name w:val="index heading111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e347dd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9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211" w:customStyle="1">
    <w:name w:val="Основной текст (2)1"/>
    <w:basedOn w:val="Normal"/>
    <w:link w:val="23"/>
    <w:qFormat/>
    <w:rsid w:val="00e97d10"/>
    <w:pPr>
      <w:widowControl w:val="false"/>
      <w:shd w:val="clear" w:color="auto" w:fill="FFFFFF"/>
      <w:spacing w:lineRule="exact" w:line="278"/>
    </w:pPr>
    <w:rPr>
      <w:b/>
      <w:bCs/>
      <w:sz w:val="22"/>
      <w:szCs w:val="22"/>
    </w:rPr>
  </w:style>
  <w:style w:type="paragraph" w:styleId="Style33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smb://sr-rsk-sar019/C:/Users/GolevaNI/AppData/Local/Microsoft/Windows/INetCache/Content.Outlook/UVH25WE5/01.06.2000" TargetMode="External"/><Relationship Id="rId6" Type="http://schemas.openxmlformats.org/officeDocument/2006/relationships/hyperlink" Target="smb://sr-rsk-sar019/C:/Users/GolevaNI/AppData/Local/Microsoft/Windows/INetCache/Content.Outlook/UVH25WE5/01.06.2000" TargetMode="External"/><Relationship Id="rId7" Type="http://schemas.openxmlformats.org/officeDocument/2006/relationships/hyperlink" Target="smb://sr-rsk-sar019/C:/Users/GolevaNI/AppData/Local/Microsoft/Windows/INetCache/Content.Outlook/UVH25WE5/01.01.2021" TargetMode="External"/><Relationship Id="rId8" Type="http://schemas.openxmlformats.org/officeDocument/2006/relationships/hyperlink" Target="smb://sr-rsk-sar019/C:/Users/GolevaNI/AppData/Local/Microsoft/Windows/INetCache/Content.Outlook/UVH25WE5/01.01.2021" TargetMode="External"/><Relationship Id="rId9" Type="http://schemas.openxmlformats.org/officeDocument/2006/relationships/hyperlink" Target="smb://sr-rsk-sar019/C:/Users/GolevaNI/AppData/Local/Microsoft/Windows/INetCache/Content.Outlook/UVH25WE5/01.01.2021" TargetMode="External"/><Relationship Id="rId10" Type="http://schemas.openxmlformats.org/officeDocument/2006/relationships/hyperlink" Target="smb://sr-rsk-sar019/C:/Users/GolevaNI/AppData/Local/Microsoft/Windows/INetCache/Content.Outlook/UVH25WE5/01.06.2000" TargetMode="External"/><Relationship Id="rId11" Type="http://schemas.openxmlformats.org/officeDocument/2006/relationships/hyperlink" Target="smb://sr-rsk-sar019/C:/Users/GolevaNI/AppData/Local/Microsoft/Windows/INetCache/Content.Outlook/UVH25WE5/01.09.2021)" TargetMode="Externa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41AC7-1F68-42B4-99C3-31CEFEB6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AlterOffice/3.4.0.9$Linux_X86_64 LibreOffice_project/b8daf9e823b1a5463a2f48435ddc2e8696e7d4fc</Application>
  <AppVersion>15.0000</AppVersion>
  <Pages>14</Pages>
  <Words>2648</Words>
  <Characters>18065</Characters>
  <CharactersWithSpaces>21025</CharactersWithSpaces>
  <Paragraphs>254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2024-08-26T05:43:00Z</dcterms:created>
  <dc:creator>Быстров Олег Геннадьевич</dc:creator>
  <dc:description/>
  <dc:language>ru-RU</dc:language>
  <cp:lastModifiedBy>soldatovaan@corp.gidroogk.com</cp:lastModifiedBy>
  <cp:lastPrinted>2023-11-16T04:34:00Z</cp:lastPrinted>
  <dcterms:modified xsi:type="dcterms:W3CDTF">2026-07-17T09:18:32Z</dcterms:modified>
  <cp:revision>12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